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15FA" w14:textId="2E895905" w:rsidR="18C1E609" w:rsidRPr="006B3047" w:rsidRDefault="006B3047" w:rsidP="38F61B2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DEPARTMENTAL </w:t>
      </w:r>
      <w:r w:rsidR="18C1E609" w:rsidRPr="006B3047">
        <w:rPr>
          <w:b/>
          <w:bCs/>
          <w:sz w:val="40"/>
          <w:szCs w:val="40"/>
          <w:u w:val="single"/>
        </w:rPr>
        <w:t>ASSESSMENT PLANNING 202</w:t>
      </w:r>
      <w:r w:rsidR="00CF6099" w:rsidRPr="006B3047">
        <w:rPr>
          <w:b/>
          <w:bCs/>
          <w:sz w:val="40"/>
          <w:szCs w:val="40"/>
          <w:u w:val="single"/>
        </w:rPr>
        <w:t>2</w:t>
      </w:r>
      <w:r w:rsidR="18C1E609" w:rsidRPr="006B3047">
        <w:rPr>
          <w:b/>
          <w:bCs/>
          <w:sz w:val="40"/>
          <w:szCs w:val="40"/>
          <w:u w:val="single"/>
        </w:rPr>
        <w:t>-2</w:t>
      </w:r>
      <w:r w:rsidR="00CF6099" w:rsidRPr="006B3047">
        <w:rPr>
          <w:b/>
          <w:bCs/>
          <w:sz w:val="40"/>
          <w:szCs w:val="40"/>
          <w:u w:val="single"/>
        </w:rPr>
        <w:t>3</w:t>
      </w:r>
    </w:p>
    <w:p w14:paraId="5357DAD2" w14:textId="03B2A563" w:rsidR="006B3047" w:rsidRPr="00AC764C" w:rsidRDefault="00A11E2D" w:rsidP="00AC764C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6B3047">
        <w:rPr>
          <w:sz w:val="24"/>
          <w:szCs w:val="24"/>
        </w:rPr>
        <w:t xml:space="preserve">Please </w:t>
      </w:r>
      <w:r w:rsidR="00C55B6C" w:rsidRPr="006B3047">
        <w:rPr>
          <w:sz w:val="24"/>
          <w:szCs w:val="24"/>
        </w:rPr>
        <w:t>engage</w:t>
      </w:r>
      <w:r w:rsidRPr="006B3047">
        <w:rPr>
          <w:sz w:val="24"/>
          <w:szCs w:val="24"/>
        </w:rPr>
        <w:t xml:space="preserve"> the appropriate staff in your department to </w:t>
      </w:r>
      <w:r w:rsidR="003E2762" w:rsidRPr="006B3047">
        <w:rPr>
          <w:sz w:val="24"/>
          <w:szCs w:val="24"/>
        </w:rPr>
        <w:t>submit</w:t>
      </w:r>
      <w:r w:rsidRPr="006B3047">
        <w:rPr>
          <w:sz w:val="24"/>
          <w:szCs w:val="24"/>
        </w:rPr>
        <w:t xml:space="preserve"> the following information</w:t>
      </w:r>
      <w:r w:rsidR="00C86445" w:rsidRPr="006B3047">
        <w:rPr>
          <w:sz w:val="24"/>
          <w:szCs w:val="24"/>
        </w:rPr>
        <w:t xml:space="preserve"> </w:t>
      </w:r>
      <w:r w:rsidR="00CF6099" w:rsidRPr="006B3047">
        <w:rPr>
          <w:sz w:val="24"/>
          <w:szCs w:val="24"/>
        </w:rPr>
        <w:t xml:space="preserve">by </w:t>
      </w:r>
      <w:r w:rsidR="001872EC">
        <w:rPr>
          <w:sz w:val="24"/>
          <w:szCs w:val="24"/>
        </w:rPr>
        <w:t xml:space="preserve">October </w:t>
      </w:r>
      <w:r w:rsidR="00175DA0">
        <w:rPr>
          <w:sz w:val="24"/>
          <w:szCs w:val="24"/>
        </w:rPr>
        <w:t>3</w:t>
      </w:r>
      <w:r w:rsidR="00175DA0">
        <w:rPr>
          <w:sz w:val="24"/>
          <w:szCs w:val="24"/>
          <w:vertAlign w:val="superscript"/>
        </w:rPr>
        <w:t>rd</w:t>
      </w:r>
      <w:r w:rsidR="00CF6099" w:rsidRPr="006B3047">
        <w:rPr>
          <w:sz w:val="24"/>
          <w:szCs w:val="24"/>
        </w:rPr>
        <w:t xml:space="preserve">. </w:t>
      </w:r>
      <w:r w:rsidRPr="006B3047">
        <w:rPr>
          <w:sz w:val="24"/>
          <w:szCs w:val="24"/>
        </w:rPr>
        <w:t xml:space="preserve"> </w:t>
      </w:r>
      <w:r w:rsidR="1AA3A231" w:rsidRPr="006B3047">
        <w:rPr>
          <w:sz w:val="24"/>
          <w:szCs w:val="24"/>
        </w:rPr>
        <w:t xml:space="preserve">This </w:t>
      </w:r>
      <w:r w:rsidR="5D992A89" w:rsidRPr="006B3047">
        <w:rPr>
          <w:sz w:val="24"/>
          <w:szCs w:val="24"/>
        </w:rPr>
        <w:t xml:space="preserve">plan </w:t>
      </w:r>
      <w:r w:rsidR="1AA3A231" w:rsidRPr="006B3047">
        <w:rPr>
          <w:rFonts w:ascii="Calibri" w:eastAsia="Calibri" w:hAnsi="Calibri" w:cs="Calibri"/>
          <w:sz w:val="24"/>
          <w:szCs w:val="24"/>
        </w:rPr>
        <w:t xml:space="preserve">represents </w:t>
      </w:r>
      <w:r w:rsidR="1AA3A231" w:rsidRPr="006B3047">
        <w:rPr>
          <w:rFonts w:ascii="Calibri" w:eastAsia="Calibri" w:hAnsi="Calibri" w:cs="Calibri"/>
          <w:b/>
          <w:bCs/>
          <w:sz w:val="24"/>
          <w:szCs w:val="24"/>
        </w:rPr>
        <w:t>a minimum</w:t>
      </w:r>
      <w:r w:rsidR="1AA3A231" w:rsidRPr="006B3047">
        <w:rPr>
          <w:rFonts w:ascii="Calibri" w:eastAsia="Calibri" w:hAnsi="Calibri" w:cs="Calibri"/>
          <w:sz w:val="24"/>
          <w:szCs w:val="24"/>
        </w:rPr>
        <w:t xml:space="preserve"> level of engagement with </w:t>
      </w:r>
      <w:r w:rsidR="00AC764C">
        <w:rPr>
          <w:rFonts w:ascii="Calibri" w:eastAsia="Calibri" w:hAnsi="Calibri" w:cs="Calibri"/>
          <w:sz w:val="24"/>
          <w:szCs w:val="24"/>
        </w:rPr>
        <w:t xml:space="preserve">OUTCOMES-BASED </w:t>
      </w:r>
      <w:r w:rsidR="1AA3A231" w:rsidRPr="006B3047">
        <w:rPr>
          <w:rFonts w:ascii="Calibri" w:eastAsia="Calibri" w:hAnsi="Calibri" w:cs="Calibri"/>
          <w:sz w:val="24"/>
          <w:szCs w:val="24"/>
        </w:rPr>
        <w:t>assessment to meet accreditation requirements, and broadly demonstrate the</w:t>
      </w:r>
      <w:r w:rsidR="00CF6099" w:rsidRPr="006B3047">
        <w:rPr>
          <w:rFonts w:ascii="Calibri" w:eastAsia="Calibri" w:hAnsi="Calibri" w:cs="Calibri"/>
          <w:sz w:val="24"/>
          <w:szCs w:val="24"/>
        </w:rPr>
        <w:t xml:space="preserve"> department’s </w:t>
      </w:r>
      <w:r w:rsidR="1AA3A231" w:rsidRPr="006B3047">
        <w:rPr>
          <w:rFonts w:ascii="Calibri" w:eastAsia="Calibri" w:hAnsi="Calibri" w:cs="Calibri"/>
          <w:sz w:val="24"/>
          <w:szCs w:val="24"/>
        </w:rPr>
        <w:t>contributions</w:t>
      </w:r>
      <w:r w:rsidR="00CF6099" w:rsidRPr="006B3047">
        <w:rPr>
          <w:rFonts w:ascii="Calibri" w:eastAsia="Calibri" w:hAnsi="Calibri" w:cs="Calibri"/>
          <w:sz w:val="24"/>
          <w:szCs w:val="24"/>
        </w:rPr>
        <w:t xml:space="preserve"> to advancing Student Affairs Strategic Priorities. </w:t>
      </w:r>
      <w:r w:rsidR="03E1A9C0" w:rsidRPr="006B3047">
        <w:rPr>
          <w:rFonts w:ascii="Calibri" w:eastAsia="Calibri" w:hAnsi="Calibri" w:cs="Calibri"/>
          <w:sz w:val="24"/>
          <w:szCs w:val="24"/>
        </w:rPr>
        <w:t>While this framework provides actionable data, i</w:t>
      </w:r>
      <w:r w:rsidR="242915DC" w:rsidRPr="006B3047">
        <w:rPr>
          <w:rFonts w:ascii="Calibri" w:eastAsia="Calibri" w:hAnsi="Calibri" w:cs="Calibri"/>
          <w:sz w:val="24"/>
          <w:szCs w:val="24"/>
        </w:rPr>
        <w:t xml:space="preserve">t </w:t>
      </w:r>
      <w:r w:rsidR="00CF6099" w:rsidRPr="006B3047">
        <w:rPr>
          <w:rFonts w:ascii="Calibri" w:eastAsia="Calibri" w:hAnsi="Calibri" w:cs="Calibri"/>
          <w:sz w:val="24"/>
          <w:szCs w:val="24"/>
        </w:rPr>
        <w:t xml:space="preserve">may </w:t>
      </w:r>
      <w:r w:rsidR="242915DC" w:rsidRPr="006B3047">
        <w:rPr>
          <w:rFonts w:ascii="Calibri" w:eastAsia="Calibri" w:hAnsi="Calibri" w:cs="Calibri"/>
          <w:sz w:val="24"/>
          <w:szCs w:val="24"/>
        </w:rPr>
        <w:t xml:space="preserve">not </w:t>
      </w:r>
      <w:r w:rsidR="00CF6099" w:rsidRPr="006B3047">
        <w:rPr>
          <w:rFonts w:ascii="Calibri" w:eastAsia="Calibri" w:hAnsi="Calibri" w:cs="Calibri"/>
          <w:sz w:val="24"/>
          <w:szCs w:val="24"/>
        </w:rPr>
        <w:t xml:space="preserve">be </w:t>
      </w:r>
      <w:r w:rsidR="03E1A9C0" w:rsidRPr="006B3047">
        <w:rPr>
          <w:rFonts w:ascii="Calibri" w:eastAsia="Calibri" w:hAnsi="Calibri" w:cs="Calibri"/>
          <w:sz w:val="24"/>
          <w:szCs w:val="24"/>
        </w:rPr>
        <w:t xml:space="preserve">sufficient to fully inform </w:t>
      </w:r>
      <w:r w:rsidR="00CF6099" w:rsidRPr="006B3047">
        <w:rPr>
          <w:rFonts w:ascii="Calibri" w:eastAsia="Calibri" w:hAnsi="Calibri" w:cs="Calibri"/>
          <w:sz w:val="24"/>
          <w:szCs w:val="24"/>
        </w:rPr>
        <w:t xml:space="preserve">unit </w:t>
      </w:r>
      <w:r w:rsidR="03E1A9C0" w:rsidRPr="006B3047">
        <w:rPr>
          <w:rFonts w:ascii="Calibri" w:eastAsia="Calibri" w:hAnsi="Calibri" w:cs="Calibri"/>
          <w:sz w:val="24"/>
          <w:szCs w:val="24"/>
        </w:rPr>
        <w:t xml:space="preserve">decision making. </w:t>
      </w:r>
      <w:r w:rsidR="003F7474">
        <w:rPr>
          <w:rFonts w:ascii="Calibri" w:eastAsia="Calibri" w:hAnsi="Calibri" w:cs="Calibri"/>
          <w:sz w:val="24"/>
          <w:szCs w:val="24"/>
        </w:rPr>
        <w:t>You can</w:t>
      </w:r>
      <w:r w:rsidR="03E1A9C0" w:rsidRPr="006B3047">
        <w:rPr>
          <w:rFonts w:ascii="Calibri" w:eastAsia="Calibri" w:hAnsi="Calibri" w:cs="Calibri"/>
          <w:sz w:val="24"/>
          <w:szCs w:val="24"/>
        </w:rPr>
        <w:t xml:space="preserve"> implement additional assessment, </w:t>
      </w:r>
      <w:r w:rsidR="003F7474">
        <w:rPr>
          <w:rFonts w:ascii="Calibri" w:eastAsia="Calibri" w:hAnsi="Calibri" w:cs="Calibri"/>
          <w:sz w:val="24"/>
          <w:szCs w:val="24"/>
        </w:rPr>
        <w:t>if you</w:t>
      </w:r>
      <w:r w:rsidR="03E1A9C0" w:rsidRPr="006B3047">
        <w:rPr>
          <w:rFonts w:ascii="Calibri" w:eastAsia="Calibri" w:hAnsi="Calibri" w:cs="Calibri"/>
          <w:sz w:val="24"/>
          <w:szCs w:val="24"/>
        </w:rPr>
        <w:t xml:space="preserve"> have the capacity to </w:t>
      </w:r>
      <w:r w:rsidR="003F7474">
        <w:rPr>
          <w:rFonts w:ascii="Calibri" w:eastAsia="Calibri" w:hAnsi="Calibri" w:cs="Calibri"/>
          <w:sz w:val="24"/>
          <w:szCs w:val="24"/>
        </w:rPr>
        <w:t>do so across 2022-23.</w:t>
      </w:r>
    </w:p>
    <w:p w14:paraId="17097E09" w14:textId="0E50F872" w:rsidR="597FEB9F" w:rsidRPr="002E49A1" w:rsidRDefault="597FEB9F" w:rsidP="006B3047">
      <w:pPr>
        <w:jc w:val="center"/>
        <w:rPr>
          <w:b/>
          <w:bCs/>
          <w:sz w:val="28"/>
          <w:szCs w:val="28"/>
        </w:rPr>
      </w:pPr>
      <w:r w:rsidRPr="002E49A1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Student Affairs </w:t>
      </w:r>
      <w:r w:rsidR="00220259" w:rsidRPr="002E49A1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 xml:space="preserve">Division-Wide </w:t>
      </w:r>
      <w:r w:rsidRPr="002E49A1">
        <w:rPr>
          <w:rFonts w:ascii="Calibri" w:eastAsia="Calibri" w:hAnsi="Calibri" w:cs="Calibri"/>
          <w:b/>
          <w:bCs/>
          <w:sz w:val="28"/>
          <w:szCs w:val="28"/>
          <w:u w:val="single"/>
          <w:lang w:val="en"/>
        </w:rPr>
        <w:t>Outcomes</w:t>
      </w:r>
    </w:p>
    <w:p w14:paraId="4F0398B2" w14:textId="167967B7" w:rsidR="0C26DFAB" w:rsidRPr="006B3047" w:rsidRDefault="00220259" w:rsidP="0C26DFAB">
      <w:pPr>
        <w:spacing w:line="276" w:lineRule="auto"/>
        <w:rPr>
          <w:rFonts w:ascii="Calibri" w:eastAsia="Calibri" w:hAnsi="Calibri" w:cs="Calibri"/>
          <w:b/>
          <w:bCs/>
          <w:cap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caps/>
          <w:sz w:val="24"/>
          <w:szCs w:val="24"/>
          <w:highlight w:val="yellow"/>
        </w:rPr>
        <w:t>Strategic Priority 1: Student Learning</w:t>
      </w:r>
    </w:p>
    <w:p w14:paraId="671EC15D" w14:textId="501292B6" w:rsidR="00220259" w:rsidRPr="00475C04" w:rsidRDefault="00220259" w:rsidP="00220259">
      <w:pPr>
        <w:spacing w:line="240" w:lineRule="auto"/>
        <w:contextualSpacing/>
        <w:rPr>
          <w:b/>
          <w:bCs/>
          <w:color w:val="0070C0"/>
          <w:sz w:val="24"/>
          <w:szCs w:val="24"/>
        </w:rPr>
      </w:pPr>
      <w:r w:rsidRPr="006B3047">
        <w:rPr>
          <w:b/>
          <w:bCs/>
          <w:color w:val="C00000"/>
          <w:sz w:val="24"/>
          <w:szCs w:val="24"/>
        </w:rPr>
        <w:t>Curricular Approach Division-Wide Learning Outcomes (LOs)</w:t>
      </w:r>
      <w:r w:rsidR="00475C04">
        <w:rPr>
          <w:b/>
          <w:bCs/>
          <w:color w:val="C00000"/>
          <w:sz w:val="24"/>
          <w:szCs w:val="24"/>
        </w:rPr>
        <w:t xml:space="preserve"> </w:t>
      </w:r>
      <w:r w:rsidR="00475C04">
        <w:rPr>
          <w:b/>
          <w:bCs/>
          <w:color w:val="0070C0"/>
          <w:sz w:val="24"/>
          <w:szCs w:val="24"/>
        </w:rPr>
        <w:t xml:space="preserve">See Departmental Alignment w/ CA in TEAMS </w:t>
      </w:r>
      <w:r w:rsidR="00165C4A">
        <w:rPr>
          <w:b/>
          <w:bCs/>
          <w:color w:val="0070C0"/>
          <w:sz w:val="24"/>
          <w:szCs w:val="24"/>
        </w:rPr>
        <w:t xml:space="preserve">worksheet </w:t>
      </w:r>
      <w:r w:rsidR="00475C04">
        <w:rPr>
          <w:b/>
          <w:bCs/>
          <w:color w:val="0070C0"/>
          <w:sz w:val="24"/>
          <w:szCs w:val="24"/>
        </w:rPr>
        <w:t>to select programs/learning opportunities you plan to measure across 2022-23</w:t>
      </w:r>
    </w:p>
    <w:p w14:paraId="3B2163E7" w14:textId="77777777" w:rsidR="00220259" w:rsidRPr="006B3047" w:rsidRDefault="00220259" w:rsidP="00220259">
      <w:pPr>
        <w:spacing w:line="240" w:lineRule="auto"/>
        <w:contextualSpacing/>
        <w:rPr>
          <w:sz w:val="24"/>
          <w:szCs w:val="24"/>
          <w:u w:val="single"/>
        </w:rPr>
      </w:pPr>
    </w:p>
    <w:p w14:paraId="199D2B30" w14:textId="6A11777A" w:rsidR="00220259" w:rsidRPr="006B3047" w:rsidRDefault="00220259" w:rsidP="00220259">
      <w:pPr>
        <w:spacing w:line="240" w:lineRule="auto"/>
        <w:contextualSpacing/>
        <w:rPr>
          <w:sz w:val="24"/>
          <w:szCs w:val="24"/>
          <w:u w:val="single"/>
        </w:rPr>
      </w:pPr>
      <w:r w:rsidRPr="006B3047">
        <w:rPr>
          <w:sz w:val="24"/>
          <w:szCs w:val="24"/>
          <w:u w:val="single"/>
        </w:rPr>
        <w:t>Resilience</w:t>
      </w:r>
    </w:p>
    <w:p w14:paraId="3D8E7E25" w14:textId="6A47E3B2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R</w:t>
      </w:r>
      <w:r w:rsidR="00220259" w:rsidRPr="006B3047">
        <w:rPr>
          <w:sz w:val="24"/>
          <w:szCs w:val="24"/>
        </w:rPr>
        <w:t>LO 1 - employ positive adaptive skillset to respond to challenges and distress</w:t>
      </w:r>
    </w:p>
    <w:p w14:paraId="1E8A23A4" w14:textId="62F721D7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R</w:t>
      </w:r>
      <w:r w:rsidR="00220259" w:rsidRPr="006B3047">
        <w:rPr>
          <w:sz w:val="24"/>
          <w:szCs w:val="24"/>
        </w:rPr>
        <w:t>LO 2 - build and maintain positive and reciprocal relationships and networks</w:t>
      </w:r>
    </w:p>
    <w:p w14:paraId="34860805" w14:textId="37ACFB7B" w:rsidR="00220259" w:rsidRPr="006B3047" w:rsidRDefault="00220259" w:rsidP="00220259">
      <w:pPr>
        <w:spacing w:line="240" w:lineRule="auto"/>
        <w:contextualSpacing/>
        <w:rPr>
          <w:sz w:val="24"/>
          <w:szCs w:val="24"/>
          <w:u w:val="single"/>
        </w:rPr>
      </w:pPr>
      <w:r w:rsidRPr="006B3047">
        <w:rPr>
          <w:sz w:val="24"/>
          <w:szCs w:val="24"/>
          <w:u w:val="single"/>
        </w:rPr>
        <w:t>Equity &amp; Inclusion</w:t>
      </w:r>
    </w:p>
    <w:p w14:paraId="14EE7F8F" w14:textId="23F93184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E&amp;I</w:t>
      </w:r>
      <w:r w:rsidR="00220259" w:rsidRPr="006B3047">
        <w:rPr>
          <w:sz w:val="24"/>
          <w:szCs w:val="24"/>
        </w:rPr>
        <w:t>LO 1 - enact inclusive leadership practices during community engagement opportunities</w:t>
      </w:r>
    </w:p>
    <w:p w14:paraId="1CA05F54" w14:textId="2910F875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E&amp;I</w:t>
      </w:r>
      <w:r w:rsidR="00220259" w:rsidRPr="006B3047">
        <w:rPr>
          <w:sz w:val="24"/>
          <w:szCs w:val="24"/>
        </w:rPr>
        <w:t>LO 2 - contribute to the development of equitable and inclusive communities</w:t>
      </w:r>
    </w:p>
    <w:p w14:paraId="4F75CCD7" w14:textId="77641C2D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E&amp;I</w:t>
      </w:r>
      <w:r w:rsidR="00220259" w:rsidRPr="006B3047">
        <w:rPr>
          <w:sz w:val="24"/>
          <w:szCs w:val="24"/>
        </w:rPr>
        <w:t>LO</w:t>
      </w:r>
      <w:r w:rsidRPr="006B3047">
        <w:rPr>
          <w:sz w:val="24"/>
          <w:szCs w:val="24"/>
        </w:rPr>
        <w:t>3</w:t>
      </w:r>
      <w:r w:rsidR="00220259" w:rsidRPr="006B3047">
        <w:rPr>
          <w:sz w:val="24"/>
          <w:szCs w:val="24"/>
        </w:rPr>
        <w:t xml:space="preserve"> - effectively challenge systems of oppression, which inhibit full participation of historically underrepresented people</w:t>
      </w:r>
    </w:p>
    <w:p w14:paraId="75403E33" w14:textId="484EA3E2" w:rsidR="00220259" w:rsidRPr="006B3047" w:rsidRDefault="00220259" w:rsidP="00220259">
      <w:pPr>
        <w:spacing w:line="240" w:lineRule="auto"/>
        <w:contextualSpacing/>
        <w:rPr>
          <w:sz w:val="24"/>
          <w:szCs w:val="24"/>
          <w:u w:val="single"/>
        </w:rPr>
      </w:pPr>
      <w:r w:rsidRPr="006B3047">
        <w:rPr>
          <w:sz w:val="24"/>
          <w:szCs w:val="24"/>
          <w:u w:val="single"/>
        </w:rPr>
        <w:t>Values Development</w:t>
      </w:r>
    </w:p>
    <w:p w14:paraId="3C9F3286" w14:textId="67976E1C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VD</w:t>
      </w:r>
      <w:r w:rsidR="00220259" w:rsidRPr="006B3047">
        <w:rPr>
          <w:sz w:val="24"/>
          <w:szCs w:val="24"/>
        </w:rPr>
        <w:t>LO 1 - act on core values to guide decision-making</w:t>
      </w:r>
    </w:p>
    <w:p w14:paraId="42620C3B" w14:textId="3182E0D1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VD</w:t>
      </w:r>
      <w:r w:rsidR="00220259" w:rsidRPr="006B3047">
        <w:rPr>
          <w:sz w:val="24"/>
          <w:szCs w:val="24"/>
        </w:rPr>
        <w:t>LO 2 - develop and apply strategies to make values-based decisions</w:t>
      </w:r>
    </w:p>
    <w:p w14:paraId="467C0D33" w14:textId="250AAEC9" w:rsidR="00220259" w:rsidRPr="006B3047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VD</w:t>
      </w:r>
      <w:r w:rsidR="00220259" w:rsidRPr="006B3047">
        <w:rPr>
          <w:sz w:val="24"/>
          <w:szCs w:val="24"/>
        </w:rPr>
        <w:t>LO 3 - align behavior and values to positively contribute to the UNC community</w:t>
      </w:r>
    </w:p>
    <w:p w14:paraId="2013283C" w14:textId="3ACA522E" w:rsidR="00220259" w:rsidRDefault="00F37A4D" w:rsidP="00220259">
      <w:pPr>
        <w:spacing w:line="240" w:lineRule="auto"/>
        <w:contextualSpacing/>
        <w:rPr>
          <w:sz w:val="24"/>
          <w:szCs w:val="24"/>
        </w:rPr>
      </w:pPr>
      <w:r w:rsidRPr="006B3047">
        <w:rPr>
          <w:sz w:val="24"/>
          <w:szCs w:val="24"/>
        </w:rPr>
        <w:t>VD</w:t>
      </w:r>
      <w:r w:rsidR="00220259" w:rsidRPr="006B3047">
        <w:rPr>
          <w:sz w:val="24"/>
          <w:szCs w:val="24"/>
        </w:rPr>
        <w:t>LO 4 - analyze how their core values are integrated into engagement with curricular activities</w:t>
      </w:r>
    </w:p>
    <w:p w14:paraId="7EBF7A76" w14:textId="2ECAE7FA" w:rsidR="00A0431E" w:rsidRDefault="00A0431E" w:rsidP="00220259">
      <w:pPr>
        <w:spacing w:line="240" w:lineRule="auto"/>
        <w:contextualSpacing/>
        <w:rPr>
          <w:sz w:val="24"/>
          <w:szCs w:val="24"/>
        </w:rPr>
      </w:pPr>
    </w:p>
    <w:p w14:paraId="197D83D4" w14:textId="210CD49C" w:rsidR="00220259" w:rsidRPr="00A0431E" w:rsidRDefault="00A0431E" w:rsidP="0C26DFAB">
      <w:pPr>
        <w:spacing w:line="276" w:lineRule="auto"/>
        <w:rPr>
          <w:b/>
          <w:bC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sz w:val="24"/>
          <w:szCs w:val="24"/>
        </w:rPr>
        <w:t>There are</w:t>
      </w:r>
      <w:r w:rsidR="0074471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0" w:history="1">
        <w:r w:rsidR="00744718" w:rsidRPr="0074471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Core Assessment Survey Questions</w:t>
        </w:r>
      </w:hyperlink>
      <w:r w:rsidR="0074471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designed to measure each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division-wide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learning outcome. Please include the appropriate core question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 on surveys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(e.g. post-programmatic/service, or end of year)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designed to measure division-wide student learning outcomes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within the context of departmental learning opportunities. Utilize additional survey items to measure division-wide LOs as needed.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25"/>
        <w:gridCol w:w="2700"/>
      </w:tblGrid>
      <w:tr w:rsidR="00F37A4D" w:rsidRPr="006B3047" w14:paraId="384A1664" w14:textId="29AD08C8" w:rsidTr="004A5011">
        <w:tc>
          <w:tcPr>
            <w:tcW w:w="6925" w:type="dxa"/>
            <w:shd w:val="clear" w:color="auto" w:fill="B4C6E7" w:themeFill="accent5" w:themeFillTint="66"/>
          </w:tcPr>
          <w:p w14:paraId="69F89E53" w14:textId="77777777" w:rsidR="00F37A4D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Program/Learning Opportunity</w:t>
            </w:r>
            <w:r w:rsidR="00417B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="00417B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ies</w:t>
            </w:r>
            <w:proofErr w:type="spellEnd"/>
            <w:r w:rsidR="00417B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Pr="006B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you Plan to Assess</w:t>
            </w:r>
            <w:r w:rsidR="00417B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 2022-23</w:t>
            </w:r>
          </w:p>
          <w:p w14:paraId="7AB30128" w14:textId="2B0BCBFA" w:rsidR="005F4FA3" w:rsidRPr="006B3047" w:rsidRDefault="005F4FA3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Every department should assess at least one learning opportunity </w:t>
            </w:r>
            <w:r w:rsidR="00144E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academic year. </w:t>
            </w:r>
          </w:p>
        </w:tc>
        <w:tc>
          <w:tcPr>
            <w:tcW w:w="2700" w:type="dxa"/>
            <w:shd w:val="clear" w:color="auto" w:fill="B4C6E7" w:themeFill="accent5" w:themeFillTint="66"/>
          </w:tcPr>
          <w:p w14:paraId="6CEBD2D1" w14:textId="498C18DF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5F4F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6B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sessing which Division-Wide LO(s)</w:t>
            </w:r>
          </w:p>
          <w:p w14:paraId="6E369E78" w14:textId="45010EDA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7A4D" w:rsidRPr="006B3047" w14:paraId="2F44B36E" w14:textId="406A5C2D" w:rsidTr="004A5011">
        <w:tc>
          <w:tcPr>
            <w:tcW w:w="6925" w:type="dxa"/>
          </w:tcPr>
          <w:p w14:paraId="646CA2B7" w14:textId="04BD05D0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Example: Sister Talk</w:t>
            </w:r>
          </w:p>
        </w:tc>
        <w:tc>
          <w:tcPr>
            <w:tcW w:w="2700" w:type="dxa"/>
          </w:tcPr>
          <w:p w14:paraId="4B5F0A7B" w14:textId="0B0ABC94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RLO1 and RLO2</w:t>
            </w:r>
          </w:p>
        </w:tc>
      </w:tr>
      <w:tr w:rsidR="00F37A4D" w:rsidRPr="006B3047" w14:paraId="27DD0D79" w14:textId="1821EC40" w:rsidTr="004A5011">
        <w:tc>
          <w:tcPr>
            <w:tcW w:w="6925" w:type="dxa"/>
          </w:tcPr>
          <w:p w14:paraId="2632E556" w14:textId="7720747E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710560" w14:textId="7EF6F7C0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37A4D" w:rsidRPr="006B3047" w14:paraId="31013928" w14:textId="52E82192" w:rsidTr="004A5011">
        <w:tc>
          <w:tcPr>
            <w:tcW w:w="6925" w:type="dxa"/>
          </w:tcPr>
          <w:p w14:paraId="564606E9" w14:textId="7720747E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5CB4E2" w14:textId="77777777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37A4D" w:rsidRPr="006B3047" w14:paraId="4566B39F" w14:textId="35940996" w:rsidTr="004A5011">
        <w:tc>
          <w:tcPr>
            <w:tcW w:w="6925" w:type="dxa"/>
          </w:tcPr>
          <w:p w14:paraId="079A6894" w14:textId="7720747E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407DE9" w14:textId="77777777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37A4D" w:rsidRPr="006B3047" w14:paraId="7BF81CC9" w14:textId="442B12E2" w:rsidTr="004A5011">
        <w:tc>
          <w:tcPr>
            <w:tcW w:w="6925" w:type="dxa"/>
          </w:tcPr>
          <w:p w14:paraId="2B396F6D" w14:textId="6426C8B8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804DA1" w14:textId="77777777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37A4D" w:rsidRPr="006B3047" w14:paraId="7006CBF0" w14:textId="2C2EF80D" w:rsidTr="004A5011">
        <w:tc>
          <w:tcPr>
            <w:tcW w:w="6925" w:type="dxa"/>
          </w:tcPr>
          <w:p w14:paraId="39269BE5" w14:textId="166C71D5" w:rsidR="00F37A4D" w:rsidRPr="006B3047" w:rsidRDefault="00D32A66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2A66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Add rows as needed</w:t>
            </w:r>
          </w:p>
        </w:tc>
        <w:tc>
          <w:tcPr>
            <w:tcW w:w="2700" w:type="dxa"/>
          </w:tcPr>
          <w:p w14:paraId="20EEC70B" w14:textId="77777777" w:rsidR="00F37A4D" w:rsidRPr="006B3047" w:rsidRDefault="00F37A4D" w:rsidP="0C26DFA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F573134" w14:textId="4E8047DC" w:rsidR="38F61B23" w:rsidRPr="006B3047" w:rsidRDefault="00664DC9" w:rsidP="38F61B23">
      <w:pPr>
        <w:spacing w:line="276" w:lineRule="auto"/>
        <w:rPr>
          <w:rFonts w:ascii="Calibri" w:eastAsia="Calibri" w:hAnsi="Calibri" w:cs="Calibri"/>
          <w:b/>
          <w:bCs/>
          <w:cap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caps/>
          <w:sz w:val="24"/>
          <w:szCs w:val="24"/>
          <w:highlight w:val="yellow"/>
        </w:rPr>
        <w:lastRenderedPageBreak/>
        <w:t>Assessment Priority 2: Promote &amp; Advocate</w:t>
      </w:r>
    </w:p>
    <w:p w14:paraId="222E6CA7" w14:textId="77777777" w:rsidR="00664DC9" w:rsidRPr="006B3047" w:rsidRDefault="00664DC9" w:rsidP="00664DC9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  <w:r w:rsidRPr="006B3047">
        <w:rPr>
          <w:b/>
          <w:bCs/>
          <w:color w:val="C00000"/>
          <w:sz w:val="24"/>
          <w:szCs w:val="24"/>
        </w:rPr>
        <w:t xml:space="preserve">Division-Wide Outcome </w:t>
      </w:r>
    </w:p>
    <w:p w14:paraId="33D895C0" w14:textId="5ED48C63" w:rsidR="38F61B23" w:rsidRDefault="00664DC9" w:rsidP="00E53B0E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6B3047">
        <w:rPr>
          <w:b/>
          <w:bCs/>
          <w:i/>
          <w:iCs/>
          <w:sz w:val="24"/>
          <w:szCs w:val="24"/>
        </w:rPr>
        <w:t>The department and Student Affairs leadership will keep stakeholders informed of programs, services and resources in support of student success.</w:t>
      </w:r>
    </w:p>
    <w:p w14:paraId="1B1A93E6" w14:textId="77777777" w:rsidR="00E53B0E" w:rsidRPr="00E53B0E" w:rsidRDefault="00E53B0E" w:rsidP="00E53B0E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</w:p>
    <w:p w14:paraId="443709EF" w14:textId="58E5F0D0" w:rsidR="00E53B0E" w:rsidRPr="006B3047" w:rsidRDefault="00E53B0E" w:rsidP="00E53B0E">
      <w:pPr>
        <w:spacing w:line="276" w:lineRule="auto"/>
        <w:rPr>
          <w:b/>
          <w:bCs/>
          <w:sz w:val="24"/>
          <w:szCs w:val="24"/>
        </w:rPr>
      </w:pPr>
      <w:bookmarkStart w:id="0" w:name="_Hlk111713465"/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There is a </w:t>
      </w:r>
      <w:hyperlink r:id="rId11" w:history="1">
        <w:r w:rsidR="00744718" w:rsidRPr="0074471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Core Assessment Survey Question</w:t>
        </w:r>
      </w:hyperlink>
      <w:r w:rsidR="0074471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designed to measure the Promote &amp; Advocate division-wide outcome. Please include the core question on appropriate departmental su</w:t>
      </w:r>
      <w:r>
        <w:rPr>
          <w:rFonts w:ascii="Calibri" w:eastAsia="Calibri" w:hAnsi="Calibri" w:cs="Calibri"/>
          <w:b/>
          <w:bCs/>
          <w:sz w:val="24"/>
          <w:szCs w:val="24"/>
        </w:rPr>
        <w:t>rveys.</w:t>
      </w:r>
    </w:p>
    <w:bookmarkEnd w:id="0"/>
    <w:p w14:paraId="76A2DCC3" w14:textId="0A7861F9" w:rsidR="00664DC9" w:rsidRPr="006B3047" w:rsidRDefault="00E53B0E" w:rsidP="00664DC9">
      <w:pPr>
        <w:rPr>
          <w:b/>
          <w:sz w:val="24"/>
          <w:szCs w:val="24"/>
        </w:rPr>
      </w:pPr>
      <w:r w:rsidRPr="002526BC">
        <w:rPr>
          <w:b/>
          <w:color w:val="C00000"/>
          <w:sz w:val="24"/>
          <w:szCs w:val="24"/>
        </w:rPr>
        <w:t xml:space="preserve">All departments </w:t>
      </w:r>
      <w:r>
        <w:rPr>
          <w:b/>
          <w:sz w:val="24"/>
          <w:szCs w:val="24"/>
        </w:rPr>
        <w:t xml:space="preserve">should track </w:t>
      </w:r>
      <w:r w:rsidRPr="002526BC">
        <w:rPr>
          <w:b/>
          <w:color w:val="C00000"/>
          <w:sz w:val="24"/>
          <w:szCs w:val="24"/>
        </w:rPr>
        <w:t xml:space="preserve">outreach metrics </w:t>
      </w:r>
      <w:r>
        <w:rPr>
          <w:b/>
          <w:sz w:val="24"/>
          <w:szCs w:val="24"/>
        </w:rPr>
        <w:t>to inform this division-wide 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664DC9" w:rsidRPr="006B3047" w14:paraId="4260E571" w14:textId="77777777" w:rsidTr="00453AF0">
        <w:trPr>
          <w:trHeight w:val="350"/>
        </w:trPr>
        <w:tc>
          <w:tcPr>
            <w:tcW w:w="4855" w:type="dxa"/>
            <w:shd w:val="clear" w:color="auto" w:fill="B4C6E7" w:themeFill="accent5" w:themeFillTint="66"/>
          </w:tcPr>
          <w:p w14:paraId="60FC216F" w14:textId="0AE2F7A5" w:rsidR="00664DC9" w:rsidRPr="006B3047" w:rsidRDefault="00664DC9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 xml:space="preserve">What mechanisms will you use to </w:t>
            </w:r>
            <w:r w:rsidRPr="006B3047">
              <w:rPr>
                <w:b/>
                <w:sz w:val="24"/>
                <w:szCs w:val="24"/>
              </w:rPr>
              <w:t>initiate</w:t>
            </w:r>
            <w:r w:rsidRPr="006B3047">
              <w:rPr>
                <w:sz w:val="24"/>
                <w:szCs w:val="24"/>
              </w:rPr>
              <w:t xml:space="preserve"> contact with key stakeholders to communicate information, educate, support, publicize, recruit, etc. </w:t>
            </w:r>
          </w:p>
        </w:tc>
        <w:tc>
          <w:tcPr>
            <w:tcW w:w="4860" w:type="dxa"/>
            <w:shd w:val="clear" w:color="auto" w:fill="B4C6E7" w:themeFill="accent5" w:themeFillTint="66"/>
          </w:tcPr>
          <w:p w14:paraId="439B92F0" w14:textId="3ACBF65C" w:rsidR="00664DC9" w:rsidRPr="006B3047" w:rsidRDefault="006F24B4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>Ho</w:t>
            </w:r>
            <w:r w:rsidR="00664DC9" w:rsidRPr="006B3047">
              <w:rPr>
                <w:sz w:val="24"/>
                <w:szCs w:val="24"/>
              </w:rPr>
              <w:t xml:space="preserve">w will you track </w:t>
            </w:r>
            <w:r w:rsidRPr="006B3047">
              <w:rPr>
                <w:sz w:val="24"/>
                <w:szCs w:val="24"/>
              </w:rPr>
              <w:t xml:space="preserve">community engagement with each </w:t>
            </w:r>
            <w:r w:rsidR="00664DC9" w:rsidRPr="006B3047">
              <w:rPr>
                <w:sz w:val="24"/>
                <w:szCs w:val="24"/>
              </w:rPr>
              <w:t>outre</w:t>
            </w:r>
            <w:r w:rsidRPr="006B3047">
              <w:rPr>
                <w:sz w:val="24"/>
                <w:szCs w:val="24"/>
              </w:rPr>
              <w:t xml:space="preserve">ach </w:t>
            </w:r>
            <w:r w:rsidR="00664DC9" w:rsidRPr="006B3047">
              <w:rPr>
                <w:sz w:val="24"/>
                <w:szCs w:val="24"/>
              </w:rPr>
              <w:t>mechanism</w:t>
            </w:r>
            <w:r w:rsidR="00D45AC0" w:rsidRPr="006B3047">
              <w:rPr>
                <w:sz w:val="24"/>
                <w:szCs w:val="24"/>
              </w:rPr>
              <w:t>?</w:t>
            </w:r>
            <w:r w:rsidR="00664DC9" w:rsidRPr="006B3047">
              <w:rPr>
                <w:sz w:val="24"/>
                <w:szCs w:val="24"/>
              </w:rPr>
              <w:t xml:space="preserve"> </w:t>
            </w:r>
          </w:p>
        </w:tc>
      </w:tr>
      <w:tr w:rsidR="00664DC9" w:rsidRPr="006B3047" w14:paraId="726386EB" w14:textId="77777777" w:rsidTr="00453AF0">
        <w:tc>
          <w:tcPr>
            <w:tcW w:w="4855" w:type="dxa"/>
          </w:tcPr>
          <w:p w14:paraId="1A4EFB3E" w14:textId="217A0F7C" w:rsidR="00664DC9" w:rsidRPr="006B3047" w:rsidRDefault="006F24B4" w:rsidP="00360181">
            <w:pPr>
              <w:rPr>
                <w:color w:val="FF0000"/>
                <w:sz w:val="24"/>
                <w:szCs w:val="24"/>
              </w:rPr>
            </w:pPr>
            <w:r w:rsidRPr="006B3047">
              <w:rPr>
                <w:rFonts w:ascii="Calibri" w:eastAsia="Calibri" w:hAnsi="Calibri" w:cs="Calibri"/>
                <w:sz w:val="24"/>
                <w:szCs w:val="24"/>
              </w:rPr>
              <w:t xml:space="preserve">presentations to/collaborations with stakeholders </w:t>
            </w:r>
          </w:p>
        </w:tc>
        <w:tc>
          <w:tcPr>
            <w:tcW w:w="4860" w:type="dxa"/>
          </w:tcPr>
          <w:p w14:paraId="4A20DA6B" w14:textId="77777777" w:rsidR="00664DC9" w:rsidRPr="006B3047" w:rsidRDefault="00664DC9" w:rsidP="00360181">
            <w:pPr>
              <w:rPr>
                <w:color w:val="FF0000"/>
                <w:sz w:val="24"/>
                <w:szCs w:val="24"/>
              </w:rPr>
            </w:pPr>
            <w:r w:rsidRPr="006B3047">
              <w:rPr>
                <w:color w:val="FF0000"/>
                <w:sz w:val="24"/>
                <w:szCs w:val="24"/>
              </w:rPr>
              <w:t xml:space="preserve"> </w:t>
            </w:r>
          </w:p>
          <w:p w14:paraId="63092F2C" w14:textId="678327EB" w:rsidR="006F24B4" w:rsidRPr="006B3047" w:rsidRDefault="006F24B4" w:rsidP="006F24B4">
            <w:pPr>
              <w:tabs>
                <w:tab w:val="left" w:pos="1330"/>
              </w:tabs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ab/>
            </w:r>
          </w:p>
        </w:tc>
      </w:tr>
      <w:tr w:rsidR="00664DC9" w:rsidRPr="006B3047" w14:paraId="0C2B3138" w14:textId="77777777" w:rsidTr="00453AF0">
        <w:tc>
          <w:tcPr>
            <w:tcW w:w="4855" w:type="dxa"/>
          </w:tcPr>
          <w:p w14:paraId="6F3BE0B3" w14:textId="3E12EFD1" w:rsidR="00664DC9" w:rsidRPr="006B3047" w:rsidRDefault="006F24B4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>Newsletter</w:t>
            </w:r>
          </w:p>
        </w:tc>
        <w:tc>
          <w:tcPr>
            <w:tcW w:w="4860" w:type="dxa"/>
          </w:tcPr>
          <w:p w14:paraId="672832A1" w14:textId="77777777" w:rsidR="00664DC9" w:rsidRPr="006B3047" w:rsidRDefault="00664DC9" w:rsidP="00360181">
            <w:pPr>
              <w:rPr>
                <w:sz w:val="24"/>
                <w:szCs w:val="24"/>
              </w:rPr>
            </w:pPr>
          </w:p>
        </w:tc>
      </w:tr>
      <w:tr w:rsidR="00664DC9" w:rsidRPr="006B3047" w14:paraId="5FE87431" w14:textId="77777777" w:rsidTr="00453AF0">
        <w:tc>
          <w:tcPr>
            <w:tcW w:w="4855" w:type="dxa"/>
          </w:tcPr>
          <w:p w14:paraId="700BE5F1" w14:textId="64EE6E7B" w:rsidR="00664DC9" w:rsidRPr="006B3047" w:rsidRDefault="006F24B4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>Listserv</w:t>
            </w:r>
          </w:p>
        </w:tc>
        <w:tc>
          <w:tcPr>
            <w:tcW w:w="4860" w:type="dxa"/>
          </w:tcPr>
          <w:p w14:paraId="13813C06" w14:textId="77777777" w:rsidR="00664DC9" w:rsidRPr="006B3047" w:rsidRDefault="00664DC9" w:rsidP="00360181">
            <w:pPr>
              <w:rPr>
                <w:sz w:val="24"/>
                <w:szCs w:val="24"/>
              </w:rPr>
            </w:pPr>
          </w:p>
        </w:tc>
      </w:tr>
      <w:tr w:rsidR="00664DC9" w:rsidRPr="006B3047" w14:paraId="6E6F3F4A" w14:textId="77777777" w:rsidTr="00453AF0">
        <w:tc>
          <w:tcPr>
            <w:tcW w:w="4855" w:type="dxa"/>
          </w:tcPr>
          <w:p w14:paraId="73BE569C" w14:textId="623C2C89" w:rsidR="00664DC9" w:rsidRPr="006B3047" w:rsidRDefault="006F24B4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>Website Analytics</w:t>
            </w:r>
          </w:p>
        </w:tc>
        <w:tc>
          <w:tcPr>
            <w:tcW w:w="4860" w:type="dxa"/>
          </w:tcPr>
          <w:p w14:paraId="680DA491" w14:textId="77777777" w:rsidR="00664DC9" w:rsidRPr="006B3047" w:rsidRDefault="00664DC9" w:rsidP="00360181">
            <w:pPr>
              <w:rPr>
                <w:sz w:val="24"/>
                <w:szCs w:val="24"/>
              </w:rPr>
            </w:pPr>
          </w:p>
        </w:tc>
      </w:tr>
      <w:tr w:rsidR="00664DC9" w:rsidRPr="006B3047" w14:paraId="5571238F" w14:textId="77777777" w:rsidTr="00453AF0">
        <w:tc>
          <w:tcPr>
            <w:tcW w:w="4855" w:type="dxa"/>
          </w:tcPr>
          <w:p w14:paraId="3CDBFA4F" w14:textId="51549142" w:rsidR="00664DC9" w:rsidRPr="006B3047" w:rsidRDefault="006F24B4" w:rsidP="00360181">
            <w:pPr>
              <w:rPr>
                <w:sz w:val="24"/>
                <w:szCs w:val="24"/>
              </w:rPr>
            </w:pPr>
            <w:r w:rsidRPr="006B3047">
              <w:rPr>
                <w:sz w:val="24"/>
                <w:szCs w:val="24"/>
              </w:rPr>
              <w:t>Social Media Analytics</w:t>
            </w:r>
          </w:p>
        </w:tc>
        <w:tc>
          <w:tcPr>
            <w:tcW w:w="4860" w:type="dxa"/>
          </w:tcPr>
          <w:p w14:paraId="5E1E8F6D" w14:textId="77777777" w:rsidR="00664DC9" w:rsidRPr="006B3047" w:rsidRDefault="00664DC9" w:rsidP="00360181">
            <w:pPr>
              <w:rPr>
                <w:sz w:val="24"/>
                <w:szCs w:val="24"/>
              </w:rPr>
            </w:pPr>
          </w:p>
        </w:tc>
      </w:tr>
      <w:tr w:rsidR="00664DC9" w:rsidRPr="006B3047" w14:paraId="38131AD4" w14:textId="77777777" w:rsidTr="00453AF0">
        <w:tc>
          <w:tcPr>
            <w:tcW w:w="4855" w:type="dxa"/>
          </w:tcPr>
          <w:p w14:paraId="706E126B" w14:textId="1720DD64" w:rsidR="00664DC9" w:rsidRPr="00E53B0E" w:rsidRDefault="00E53B0E" w:rsidP="0036018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53B0E">
              <w:rPr>
                <w:b/>
                <w:bCs/>
                <w:color w:val="C00000"/>
                <w:sz w:val="24"/>
                <w:szCs w:val="24"/>
              </w:rPr>
              <w:t xml:space="preserve">Add </w:t>
            </w:r>
            <w:r>
              <w:rPr>
                <w:b/>
                <w:bCs/>
                <w:color w:val="C00000"/>
                <w:sz w:val="24"/>
                <w:szCs w:val="24"/>
              </w:rPr>
              <w:t>R</w:t>
            </w:r>
            <w:r w:rsidRPr="00E53B0E">
              <w:rPr>
                <w:b/>
                <w:bCs/>
                <w:color w:val="C00000"/>
                <w:sz w:val="24"/>
                <w:szCs w:val="24"/>
              </w:rPr>
              <w:t xml:space="preserve">ows as </w:t>
            </w:r>
            <w:r>
              <w:rPr>
                <w:b/>
                <w:bCs/>
                <w:color w:val="C00000"/>
                <w:sz w:val="24"/>
                <w:szCs w:val="24"/>
              </w:rPr>
              <w:t>N</w:t>
            </w:r>
            <w:r w:rsidRPr="00E53B0E">
              <w:rPr>
                <w:b/>
                <w:bCs/>
                <w:color w:val="C00000"/>
                <w:sz w:val="24"/>
                <w:szCs w:val="24"/>
              </w:rPr>
              <w:t>eeded</w:t>
            </w:r>
          </w:p>
        </w:tc>
        <w:tc>
          <w:tcPr>
            <w:tcW w:w="4860" w:type="dxa"/>
          </w:tcPr>
          <w:p w14:paraId="49C57B2C" w14:textId="77777777" w:rsidR="00664DC9" w:rsidRPr="006B3047" w:rsidRDefault="00664DC9" w:rsidP="00360181">
            <w:pPr>
              <w:rPr>
                <w:sz w:val="24"/>
                <w:szCs w:val="24"/>
              </w:rPr>
            </w:pPr>
          </w:p>
        </w:tc>
      </w:tr>
    </w:tbl>
    <w:p w14:paraId="696021EA" w14:textId="44DC9AAE" w:rsidR="00664DC9" w:rsidRPr="006B3047" w:rsidRDefault="00664DC9" w:rsidP="38F61B23">
      <w:pPr>
        <w:rPr>
          <w:b/>
          <w:bCs/>
          <w:sz w:val="24"/>
          <w:szCs w:val="24"/>
        </w:rPr>
      </w:pPr>
    </w:p>
    <w:p w14:paraId="7A9CB0AD" w14:textId="77777777" w:rsidR="00CC11F1" w:rsidRPr="006B3047" w:rsidRDefault="00CC11F1" w:rsidP="00CC11F1">
      <w:pPr>
        <w:spacing w:line="240" w:lineRule="auto"/>
        <w:contextualSpacing/>
        <w:rPr>
          <w:b/>
          <w:bCs/>
          <w:caps/>
          <w:sz w:val="24"/>
          <w:szCs w:val="24"/>
        </w:rPr>
      </w:pPr>
      <w:r w:rsidRPr="006B3047">
        <w:rPr>
          <w:b/>
          <w:bCs/>
          <w:caps/>
          <w:sz w:val="24"/>
          <w:szCs w:val="24"/>
          <w:highlight w:val="yellow"/>
        </w:rPr>
        <w:t>Assessment Priority 3: Foster Safe &amp; Inclusive Communities</w:t>
      </w:r>
    </w:p>
    <w:p w14:paraId="729FB5E7" w14:textId="77777777" w:rsidR="00CC11F1" w:rsidRPr="006B3047" w:rsidRDefault="00CC11F1" w:rsidP="00CC11F1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</w:p>
    <w:p w14:paraId="6832D422" w14:textId="692CB16E" w:rsidR="00CC11F1" w:rsidRPr="006B3047" w:rsidRDefault="00CC11F1" w:rsidP="00CC11F1">
      <w:pPr>
        <w:spacing w:line="240" w:lineRule="auto"/>
        <w:contextualSpacing/>
        <w:rPr>
          <w:color w:val="C00000"/>
          <w:sz w:val="24"/>
          <w:szCs w:val="24"/>
        </w:rPr>
      </w:pPr>
      <w:r w:rsidRPr="006B3047">
        <w:rPr>
          <w:b/>
          <w:bCs/>
          <w:color w:val="C00000"/>
          <w:sz w:val="24"/>
          <w:szCs w:val="24"/>
        </w:rPr>
        <w:t>Division-Wide Outcome</w:t>
      </w:r>
      <w:r w:rsidRPr="006B3047">
        <w:rPr>
          <w:color w:val="C00000"/>
          <w:sz w:val="24"/>
          <w:szCs w:val="24"/>
        </w:rPr>
        <w:t xml:space="preserve"> </w:t>
      </w:r>
    </w:p>
    <w:p w14:paraId="5781BEC3" w14:textId="613F335D" w:rsidR="006B3047" w:rsidRDefault="00CC11F1" w:rsidP="00E53B0E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6B3047">
        <w:rPr>
          <w:b/>
          <w:bCs/>
          <w:i/>
          <w:iCs/>
          <w:sz w:val="24"/>
          <w:szCs w:val="24"/>
        </w:rPr>
        <w:t>The department and Student Affairs leadership will contribute to building and sustaining safe, supportive, and inclusive campus environments.</w:t>
      </w:r>
      <w:bookmarkStart w:id="1" w:name="_Hlk111717454"/>
    </w:p>
    <w:p w14:paraId="50A260BC" w14:textId="77777777" w:rsidR="00E53B0E" w:rsidRPr="00E53B0E" w:rsidRDefault="00E53B0E" w:rsidP="00E53B0E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</w:p>
    <w:p w14:paraId="015E5897" w14:textId="23A734CD" w:rsidR="00786FC7" w:rsidRPr="006B3047" w:rsidRDefault="00786FC7" w:rsidP="00786FC7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There are </w:t>
      </w:r>
      <w:hyperlink r:id="rId12" w:history="1">
        <w:r w:rsidR="00744718" w:rsidRPr="0074471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Core Assessment Survey Questions</w:t>
        </w:r>
      </w:hyperlink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 designed to measure the Foster Safe &amp; Inclusive Communities division-wide outcome. </w:t>
      </w:r>
      <w:r w:rsidR="0033654D">
        <w:rPr>
          <w:rFonts w:ascii="Calibri" w:eastAsia="Calibri" w:hAnsi="Calibri" w:cs="Calibri"/>
          <w:b/>
          <w:bCs/>
          <w:sz w:val="24"/>
          <w:szCs w:val="24"/>
        </w:rPr>
        <w:t>Please u</w:t>
      </w:r>
      <w:r w:rsidR="002846D7" w:rsidRPr="006B3047">
        <w:rPr>
          <w:rFonts w:ascii="Calibri" w:eastAsia="Calibri" w:hAnsi="Calibri" w:cs="Calibri"/>
          <w:b/>
          <w:bCs/>
          <w:sz w:val="24"/>
          <w:szCs w:val="24"/>
        </w:rPr>
        <w:t>tilize these core questions on appropriate surveys, and</w:t>
      </w:r>
      <w:r w:rsidR="00A6094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846D7"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other </w:t>
      </w:r>
      <w:r w:rsidR="002F4D8F">
        <w:rPr>
          <w:rFonts w:ascii="Calibri" w:eastAsia="Calibri" w:hAnsi="Calibri" w:cs="Calibri"/>
          <w:b/>
          <w:bCs/>
          <w:sz w:val="24"/>
          <w:szCs w:val="24"/>
        </w:rPr>
        <w:t xml:space="preserve">appropriate </w:t>
      </w:r>
      <w:r w:rsidR="002846D7" w:rsidRPr="006B3047">
        <w:rPr>
          <w:rFonts w:ascii="Calibri" w:eastAsia="Calibri" w:hAnsi="Calibri" w:cs="Calibri"/>
          <w:b/>
          <w:bCs/>
          <w:sz w:val="24"/>
          <w:szCs w:val="24"/>
        </w:rPr>
        <w:t>data to demonstrate contributions to this outcome</w:t>
      </w:r>
      <w:r w:rsidR="00E53B0E"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45AC0" w:rsidRPr="006B3047" w14:paraId="0FBC5AB1" w14:textId="77777777" w:rsidTr="00E723EA">
        <w:tc>
          <w:tcPr>
            <w:tcW w:w="9926" w:type="dxa"/>
            <w:shd w:val="clear" w:color="auto" w:fill="B4C6E7" w:themeFill="accent5" w:themeFillTint="66"/>
          </w:tcPr>
          <w:bookmarkEnd w:id="1"/>
          <w:p w14:paraId="3DB2CF02" w14:textId="0FD50540" w:rsidR="00D45AC0" w:rsidRPr="006B3047" w:rsidRDefault="00D45AC0" w:rsidP="00786F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B3047">
              <w:rPr>
                <w:b/>
                <w:bCs/>
                <w:sz w:val="24"/>
                <w:szCs w:val="24"/>
              </w:rPr>
              <w:t xml:space="preserve">How will your department measure the extent to which programs/services/spaces are operating in ways that are equitable and inclusive? (e.g. core questions on </w:t>
            </w:r>
            <w:r w:rsidR="00E723EA" w:rsidRPr="006B3047">
              <w:rPr>
                <w:b/>
                <w:bCs/>
                <w:sz w:val="24"/>
                <w:szCs w:val="24"/>
              </w:rPr>
              <w:t xml:space="preserve">post program or </w:t>
            </w:r>
            <w:r w:rsidRPr="006B3047">
              <w:rPr>
                <w:b/>
                <w:bCs/>
                <w:sz w:val="24"/>
                <w:szCs w:val="24"/>
              </w:rPr>
              <w:t xml:space="preserve">departmental surveys, QR code linked to climate questions posted in spaces, disaggregating participant/user demographics, utilizing data from nationally benchmarked survey?  </w:t>
            </w:r>
          </w:p>
        </w:tc>
      </w:tr>
      <w:tr w:rsidR="00D45AC0" w:rsidRPr="006B3047" w14:paraId="372F639D" w14:textId="77777777" w:rsidTr="00C545CC">
        <w:tc>
          <w:tcPr>
            <w:tcW w:w="9926" w:type="dxa"/>
          </w:tcPr>
          <w:p w14:paraId="1ACFF67A" w14:textId="77777777" w:rsidR="00D45AC0" w:rsidRPr="006B3047" w:rsidRDefault="00D45AC0" w:rsidP="00786F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45AC0" w:rsidRPr="006B3047" w14:paraId="5EEBE795" w14:textId="77777777" w:rsidTr="002B20C5">
        <w:tc>
          <w:tcPr>
            <w:tcW w:w="9926" w:type="dxa"/>
          </w:tcPr>
          <w:p w14:paraId="2B726726" w14:textId="77777777" w:rsidR="00D45AC0" w:rsidRPr="006B3047" w:rsidRDefault="00D45AC0" w:rsidP="00786F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45AC0" w:rsidRPr="006B3047" w14:paraId="7A0BF53C" w14:textId="77777777" w:rsidTr="001B06AC">
        <w:tc>
          <w:tcPr>
            <w:tcW w:w="9926" w:type="dxa"/>
          </w:tcPr>
          <w:p w14:paraId="788DFC10" w14:textId="77777777" w:rsidR="00D45AC0" w:rsidRPr="006B3047" w:rsidRDefault="00D45AC0" w:rsidP="00786F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723EA" w:rsidRPr="006B3047" w14:paraId="67AA5520" w14:textId="77777777" w:rsidTr="001B06AC">
        <w:tc>
          <w:tcPr>
            <w:tcW w:w="9926" w:type="dxa"/>
          </w:tcPr>
          <w:p w14:paraId="5047A5A4" w14:textId="77777777" w:rsidR="00E723EA" w:rsidRPr="006B3047" w:rsidRDefault="00E723EA" w:rsidP="00786F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723EA" w:rsidRPr="006B3047" w14:paraId="337ED28C" w14:textId="77777777" w:rsidTr="001B06AC">
        <w:tc>
          <w:tcPr>
            <w:tcW w:w="9926" w:type="dxa"/>
          </w:tcPr>
          <w:p w14:paraId="21076372" w14:textId="3CC29942" w:rsidR="00E723EA" w:rsidRPr="002526BC" w:rsidRDefault="002526BC" w:rsidP="00786FC7">
            <w:pPr>
              <w:spacing w:line="276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Add rows as needed</w:t>
            </w:r>
          </w:p>
        </w:tc>
      </w:tr>
    </w:tbl>
    <w:p w14:paraId="4AC6DB19" w14:textId="77777777" w:rsidR="00FD4596" w:rsidRDefault="00FD4596" w:rsidP="00B66AF4">
      <w:pPr>
        <w:spacing w:line="240" w:lineRule="auto"/>
        <w:contextualSpacing/>
        <w:rPr>
          <w:b/>
          <w:bCs/>
          <w:caps/>
          <w:sz w:val="24"/>
          <w:szCs w:val="24"/>
          <w:highlight w:val="yellow"/>
        </w:rPr>
      </w:pPr>
    </w:p>
    <w:p w14:paraId="53BA81D5" w14:textId="77777777" w:rsidR="00FD4596" w:rsidRDefault="00FD4596" w:rsidP="00B66AF4">
      <w:pPr>
        <w:spacing w:line="240" w:lineRule="auto"/>
        <w:contextualSpacing/>
        <w:rPr>
          <w:b/>
          <w:bCs/>
          <w:caps/>
          <w:sz w:val="24"/>
          <w:szCs w:val="24"/>
          <w:highlight w:val="yellow"/>
        </w:rPr>
      </w:pPr>
    </w:p>
    <w:p w14:paraId="4932A6EA" w14:textId="49D03628" w:rsidR="00B66AF4" w:rsidRPr="006B3047" w:rsidRDefault="00B66AF4" w:rsidP="00B66AF4">
      <w:pPr>
        <w:spacing w:line="240" w:lineRule="auto"/>
        <w:contextualSpacing/>
        <w:rPr>
          <w:b/>
          <w:bCs/>
          <w:caps/>
          <w:sz w:val="24"/>
          <w:szCs w:val="24"/>
        </w:rPr>
      </w:pPr>
      <w:r w:rsidRPr="006B3047">
        <w:rPr>
          <w:b/>
          <w:bCs/>
          <w:caps/>
          <w:sz w:val="24"/>
          <w:szCs w:val="24"/>
          <w:highlight w:val="yellow"/>
        </w:rPr>
        <w:lastRenderedPageBreak/>
        <w:t>Assessment Priority 4: Develop Collaborations &amp; Partnerships</w:t>
      </w:r>
    </w:p>
    <w:p w14:paraId="299DA859" w14:textId="77777777" w:rsidR="00B66AF4" w:rsidRPr="006B3047" w:rsidRDefault="00B66AF4" w:rsidP="00B66AF4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</w:p>
    <w:p w14:paraId="373A3BEB" w14:textId="44DE9241" w:rsidR="00B66AF4" w:rsidRPr="006B3047" w:rsidRDefault="00B66AF4" w:rsidP="00B66AF4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  <w:r w:rsidRPr="006B3047">
        <w:rPr>
          <w:b/>
          <w:bCs/>
          <w:color w:val="C00000"/>
          <w:sz w:val="24"/>
          <w:szCs w:val="24"/>
        </w:rPr>
        <w:t>Division-Wide Outcome</w:t>
      </w:r>
    </w:p>
    <w:p w14:paraId="50198933" w14:textId="77777777" w:rsidR="00B66AF4" w:rsidRPr="006B3047" w:rsidRDefault="00B66AF4" w:rsidP="00744718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6B3047">
        <w:rPr>
          <w:b/>
          <w:bCs/>
          <w:i/>
          <w:iCs/>
          <w:sz w:val="24"/>
          <w:szCs w:val="24"/>
        </w:rPr>
        <w:t xml:space="preserve">The department and Student Affairs leadership will engage collaboration and partnerships to enhance student and staff experiences including professional development, health and well-being. </w:t>
      </w:r>
    </w:p>
    <w:p w14:paraId="39FA91C0" w14:textId="77777777" w:rsidR="00744718" w:rsidRDefault="00744718" w:rsidP="00744718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11719372"/>
    </w:p>
    <w:p w14:paraId="0C6A13FC" w14:textId="261F4FAC" w:rsidR="006B3047" w:rsidRDefault="006B3047" w:rsidP="00744718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There are </w:t>
      </w:r>
      <w:hyperlink r:id="rId13" w:history="1">
        <w:r w:rsidR="00744718" w:rsidRPr="0074471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Core Assessment Survey Questions</w:t>
        </w:r>
      </w:hyperlink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 designed to measure the Collaboration &amp; Partnerships division-wide outcome. </w:t>
      </w:r>
      <w:r w:rsidR="0070114A">
        <w:rPr>
          <w:rFonts w:ascii="Calibri" w:eastAsia="Calibri" w:hAnsi="Calibri" w:cs="Calibri"/>
          <w:b/>
          <w:bCs/>
          <w:sz w:val="24"/>
          <w:szCs w:val="24"/>
        </w:rPr>
        <w:t xml:space="preserve">Please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utilize these core questions on appropriate surveys</w:t>
      </w:r>
      <w:r w:rsidR="0070114A">
        <w:rPr>
          <w:rFonts w:ascii="Calibri" w:eastAsia="Calibri" w:hAnsi="Calibri" w:cs="Calibri"/>
          <w:b/>
          <w:bCs/>
          <w:sz w:val="24"/>
          <w:szCs w:val="24"/>
        </w:rPr>
        <w:t xml:space="preserve">. and other appropriate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data to demonstrate contributions to this outcome.</w:t>
      </w:r>
      <w:r w:rsidR="003D70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979C4F5" w14:textId="77777777" w:rsidR="00744718" w:rsidRDefault="00744718" w:rsidP="00744718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D7098" w:rsidRPr="006B3047" w14:paraId="651A25FF" w14:textId="77777777" w:rsidTr="00360181">
        <w:tc>
          <w:tcPr>
            <w:tcW w:w="9926" w:type="dxa"/>
            <w:shd w:val="clear" w:color="auto" w:fill="B4C6E7" w:themeFill="accent5" w:themeFillTint="66"/>
          </w:tcPr>
          <w:bookmarkEnd w:id="2"/>
          <w:p w14:paraId="00E4D05D" w14:textId="0BFF69B0" w:rsidR="003D7098" w:rsidRPr="006B3047" w:rsidRDefault="003D7098" w:rsidP="00A52BAA">
            <w:pPr>
              <w:rPr>
                <w:b/>
                <w:bCs/>
                <w:sz w:val="24"/>
                <w:szCs w:val="24"/>
              </w:rPr>
            </w:pPr>
            <w:r w:rsidRPr="006B3047">
              <w:rPr>
                <w:b/>
                <w:bCs/>
                <w:sz w:val="24"/>
                <w:szCs w:val="24"/>
              </w:rPr>
              <w:t xml:space="preserve">How will your department </w:t>
            </w:r>
            <w:r w:rsidR="00962B5B">
              <w:rPr>
                <w:b/>
                <w:bCs/>
                <w:sz w:val="24"/>
                <w:szCs w:val="24"/>
              </w:rPr>
              <w:t xml:space="preserve">measure leveraging </w:t>
            </w:r>
            <w:r w:rsidR="00390AEB" w:rsidRPr="00390AEB">
              <w:rPr>
                <w:b/>
                <w:bCs/>
                <w:sz w:val="24"/>
                <w:szCs w:val="24"/>
              </w:rPr>
              <w:t>collaboration and partnerships</w:t>
            </w:r>
            <w:r w:rsidR="00DD5164">
              <w:rPr>
                <w:b/>
                <w:bCs/>
                <w:sz w:val="24"/>
                <w:szCs w:val="24"/>
              </w:rPr>
              <w:t xml:space="preserve">, and efforts </w:t>
            </w:r>
            <w:r w:rsidR="00390AEB" w:rsidRPr="00390AEB">
              <w:rPr>
                <w:b/>
                <w:bCs/>
                <w:sz w:val="24"/>
                <w:szCs w:val="24"/>
              </w:rPr>
              <w:t>to enhance student and staff experiences including professional development, health and well-being</w:t>
            </w:r>
            <w:r w:rsidR="00A52BAA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D7098" w:rsidRPr="006B3047" w14:paraId="5E8D184B" w14:textId="77777777" w:rsidTr="00360181">
        <w:tc>
          <w:tcPr>
            <w:tcW w:w="9926" w:type="dxa"/>
          </w:tcPr>
          <w:p w14:paraId="373099E8" w14:textId="77777777" w:rsidR="003D7098" w:rsidRPr="006B3047" w:rsidRDefault="003D7098" w:rsidP="0036018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D7098" w:rsidRPr="006B3047" w14:paraId="5A187E5B" w14:textId="77777777" w:rsidTr="00360181">
        <w:tc>
          <w:tcPr>
            <w:tcW w:w="9926" w:type="dxa"/>
          </w:tcPr>
          <w:p w14:paraId="65E9EC3B" w14:textId="77777777" w:rsidR="003D7098" w:rsidRPr="006B3047" w:rsidRDefault="003D7098" w:rsidP="0036018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D7098" w:rsidRPr="006B3047" w14:paraId="379F55E8" w14:textId="77777777" w:rsidTr="00360181">
        <w:tc>
          <w:tcPr>
            <w:tcW w:w="9926" w:type="dxa"/>
          </w:tcPr>
          <w:p w14:paraId="78B44A9D" w14:textId="77777777" w:rsidR="003D7098" w:rsidRPr="006B3047" w:rsidRDefault="003D7098" w:rsidP="0036018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D7098" w:rsidRPr="006B3047" w14:paraId="453F5ED9" w14:textId="77777777" w:rsidTr="00360181">
        <w:tc>
          <w:tcPr>
            <w:tcW w:w="9926" w:type="dxa"/>
          </w:tcPr>
          <w:p w14:paraId="76AF7C45" w14:textId="77777777" w:rsidR="003D7098" w:rsidRPr="006B3047" w:rsidRDefault="003D7098" w:rsidP="0036018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D7098" w:rsidRPr="006B3047" w14:paraId="00240781" w14:textId="77777777" w:rsidTr="00360181">
        <w:tc>
          <w:tcPr>
            <w:tcW w:w="9926" w:type="dxa"/>
          </w:tcPr>
          <w:p w14:paraId="2B26875F" w14:textId="22BF797C" w:rsidR="003D7098" w:rsidRPr="00564A8B" w:rsidRDefault="00564A8B" w:rsidP="00360181">
            <w:pPr>
              <w:spacing w:line="276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Add rows as needed</w:t>
            </w:r>
          </w:p>
        </w:tc>
      </w:tr>
    </w:tbl>
    <w:p w14:paraId="50D14E4E" w14:textId="07DBECA6" w:rsidR="00876072" w:rsidRPr="006B3047" w:rsidRDefault="00876072" w:rsidP="006B3047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CE508D1" w14:textId="77777777" w:rsidR="00BF19C8" w:rsidRPr="00BF19C8" w:rsidRDefault="00BF19C8" w:rsidP="00BF19C8">
      <w:pPr>
        <w:spacing w:line="240" w:lineRule="auto"/>
        <w:contextualSpacing/>
        <w:rPr>
          <w:b/>
          <w:caps/>
          <w:sz w:val="24"/>
          <w:szCs w:val="24"/>
        </w:rPr>
      </w:pPr>
      <w:r w:rsidRPr="00BF19C8">
        <w:rPr>
          <w:b/>
          <w:caps/>
          <w:sz w:val="24"/>
          <w:szCs w:val="24"/>
          <w:highlight w:val="yellow"/>
        </w:rPr>
        <w:t>Assessment Priority 5: Operational Efficiencies</w:t>
      </w:r>
    </w:p>
    <w:p w14:paraId="5EF8007B" w14:textId="77777777" w:rsidR="00BF19C8" w:rsidRDefault="00BF19C8" w:rsidP="00BF19C8">
      <w:pPr>
        <w:spacing w:line="240" w:lineRule="auto"/>
        <w:contextualSpacing/>
        <w:rPr>
          <w:b/>
          <w:bCs/>
          <w:color w:val="FF0000"/>
          <w:sz w:val="24"/>
          <w:szCs w:val="24"/>
        </w:rPr>
      </w:pPr>
    </w:p>
    <w:p w14:paraId="19900036" w14:textId="6459AABD" w:rsidR="00BF19C8" w:rsidRPr="00564A8B" w:rsidRDefault="00BF19C8" w:rsidP="00BF19C8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  <w:r w:rsidRPr="00564A8B">
        <w:rPr>
          <w:b/>
          <w:bCs/>
          <w:color w:val="C00000"/>
          <w:sz w:val="24"/>
          <w:szCs w:val="24"/>
        </w:rPr>
        <w:t>Division-Wide Outcome</w:t>
      </w:r>
    </w:p>
    <w:p w14:paraId="4464D9A1" w14:textId="77777777" w:rsidR="00BF19C8" w:rsidRPr="00546F6A" w:rsidRDefault="00BF19C8" w:rsidP="00BF19C8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546F6A">
        <w:rPr>
          <w:b/>
          <w:bCs/>
          <w:i/>
          <w:iCs/>
          <w:sz w:val="24"/>
          <w:szCs w:val="24"/>
        </w:rPr>
        <w:t>The department and Student Affairs leadership will demonstrate efficiency/effectiveness in support of Student Affairs’ mission.</w:t>
      </w:r>
    </w:p>
    <w:p w14:paraId="22B4D7C1" w14:textId="3311C805" w:rsidR="00786FC7" w:rsidRDefault="00786FC7" w:rsidP="38F61B23">
      <w:pPr>
        <w:rPr>
          <w:b/>
          <w:bCs/>
          <w:sz w:val="24"/>
          <w:szCs w:val="24"/>
        </w:rPr>
      </w:pPr>
    </w:p>
    <w:p w14:paraId="7FC010FD" w14:textId="79E3DD51" w:rsidR="0063307F" w:rsidRDefault="0063307F" w:rsidP="0063307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There are </w:t>
      </w:r>
      <w:hyperlink r:id="rId14" w:history="1">
        <w:r w:rsidR="00744718" w:rsidRPr="0074471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Core Assessment Survey Questions</w:t>
        </w:r>
      </w:hyperlink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 designed to measure the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Operational Efficiencies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division-wide outcome. </w:t>
      </w:r>
      <w:r w:rsidR="000C6333">
        <w:rPr>
          <w:rFonts w:ascii="Calibri" w:eastAsia="Calibri" w:hAnsi="Calibri" w:cs="Calibri"/>
          <w:b/>
          <w:bCs/>
          <w:sz w:val="24"/>
          <w:szCs w:val="24"/>
        </w:rPr>
        <w:t xml:space="preserve">Please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 xml:space="preserve"> utilize these core questions on appropriate surveys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658ED">
        <w:rPr>
          <w:rFonts w:ascii="Calibri" w:eastAsia="Calibri" w:hAnsi="Calibri" w:cs="Calibri"/>
          <w:b/>
          <w:bCs/>
          <w:sz w:val="24"/>
          <w:szCs w:val="24"/>
        </w:rPr>
        <w:t xml:space="preserve">track </w:t>
      </w:r>
      <w:r w:rsidR="000C6333">
        <w:rPr>
          <w:rFonts w:ascii="Calibri" w:eastAsia="Calibri" w:hAnsi="Calibri" w:cs="Calibri"/>
          <w:b/>
          <w:bCs/>
          <w:sz w:val="24"/>
          <w:szCs w:val="24"/>
        </w:rPr>
        <w:t xml:space="preserve">appropriate </w:t>
      </w:r>
      <w:r w:rsidR="005658ED"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partmental KPIs </w:t>
      </w:r>
      <w:r w:rsidRPr="006B3047">
        <w:rPr>
          <w:rFonts w:ascii="Calibri" w:eastAsia="Calibri" w:hAnsi="Calibri" w:cs="Calibri"/>
          <w:b/>
          <w:bCs/>
          <w:sz w:val="24"/>
          <w:szCs w:val="24"/>
        </w:rPr>
        <w:t>to demonstrate contributions to this outcome.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7248846" w14:textId="77777777" w:rsidR="00564A8B" w:rsidRDefault="00564A8B" w:rsidP="0063307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420598" w:rsidRPr="00420598" w14:paraId="493B22CA" w14:textId="77777777" w:rsidTr="00420598">
        <w:trPr>
          <w:trHeight w:val="255"/>
        </w:trPr>
        <w:tc>
          <w:tcPr>
            <w:tcW w:w="9895" w:type="dxa"/>
            <w:noWrap/>
          </w:tcPr>
          <w:p w14:paraId="582C96D9" w14:textId="3F721ECB" w:rsidR="00420598" w:rsidRPr="00420598" w:rsidRDefault="00420598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KPIs</w:t>
            </w:r>
            <w:r w:rsidRPr="00420598"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your department will track to demonstrate </w:t>
            </w:r>
            <w:r w:rsidRPr="00420598"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efficiency</w:t>
            </w: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 or </w:t>
            </w:r>
            <w:r w:rsidRPr="00420598"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effectiveness </w:t>
            </w: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of operations (e.g. m</w:t>
            </w:r>
            <w:r w:rsidRPr="00420598"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etrics focused on compliance, productivity, user satisfaction,</w:t>
            </w: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420598"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resource management</w:t>
            </w:r>
            <w:r>
              <w:rPr>
                <w:rFonts w:cstheme="minorHAnsi"/>
                <w:b/>
                <w:bCs/>
                <w:color w:val="000000"/>
                <w:kern w:val="28"/>
                <w:sz w:val="24"/>
                <w:szCs w:val="24"/>
              </w:rPr>
              <w:t>).</w:t>
            </w:r>
          </w:p>
        </w:tc>
      </w:tr>
      <w:tr w:rsidR="00420598" w:rsidRPr="00420598" w14:paraId="5E7DB878" w14:textId="77777777" w:rsidTr="00420598">
        <w:trPr>
          <w:trHeight w:val="255"/>
        </w:trPr>
        <w:tc>
          <w:tcPr>
            <w:tcW w:w="9895" w:type="dxa"/>
            <w:noWrap/>
          </w:tcPr>
          <w:p w14:paraId="7CB283B5" w14:textId="77777777" w:rsidR="00420598" w:rsidRPr="00420598" w:rsidRDefault="00420598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420598">
              <w:rPr>
                <w:rFonts w:cstheme="minorHAnsi"/>
                <w:color w:val="000000"/>
                <w:kern w:val="28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420598" w:rsidRPr="00420598" w14:paraId="5BDF4214" w14:textId="77777777" w:rsidTr="00420598">
        <w:trPr>
          <w:trHeight w:val="255"/>
        </w:trPr>
        <w:tc>
          <w:tcPr>
            <w:tcW w:w="9895" w:type="dxa"/>
            <w:noWrap/>
          </w:tcPr>
          <w:p w14:paraId="181ABDD8" w14:textId="77777777" w:rsidR="00420598" w:rsidRPr="00420598" w:rsidRDefault="00420598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420598">
              <w:rPr>
                <w:rFonts w:cstheme="minorHAnsi"/>
                <w:color w:val="000000"/>
                <w:kern w:val="28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420598" w:rsidRPr="00420598" w14:paraId="45594547" w14:textId="77777777" w:rsidTr="00420598">
        <w:trPr>
          <w:trHeight w:val="255"/>
        </w:trPr>
        <w:tc>
          <w:tcPr>
            <w:tcW w:w="9895" w:type="dxa"/>
            <w:noWrap/>
          </w:tcPr>
          <w:p w14:paraId="1EF6F32D" w14:textId="77777777" w:rsidR="00420598" w:rsidRPr="00420598" w:rsidRDefault="00420598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420598">
              <w:rPr>
                <w:rFonts w:cstheme="minorHAnsi"/>
                <w:color w:val="000000"/>
                <w:kern w:val="28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564A8B" w:rsidRPr="00420598" w14:paraId="37B1C908" w14:textId="77777777" w:rsidTr="00420598">
        <w:trPr>
          <w:trHeight w:val="255"/>
        </w:trPr>
        <w:tc>
          <w:tcPr>
            <w:tcW w:w="9895" w:type="dxa"/>
            <w:noWrap/>
          </w:tcPr>
          <w:p w14:paraId="085172E7" w14:textId="77777777" w:rsidR="00564A8B" w:rsidRPr="00420598" w:rsidRDefault="00564A8B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420598" w:rsidRPr="00420598" w14:paraId="30A98D41" w14:textId="77777777" w:rsidTr="00420598">
        <w:trPr>
          <w:trHeight w:val="255"/>
        </w:trPr>
        <w:tc>
          <w:tcPr>
            <w:tcW w:w="9895" w:type="dxa"/>
            <w:noWrap/>
          </w:tcPr>
          <w:p w14:paraId="0CC389EB" w14:textId="77777777" w:rsidR="00420598" w:rsidRPr="00420598" w:rsidRDefault="00420598" w:rsidP="0042059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420598">
              <w:rPr>
                <w:rFonts w:cstheme="minorHAnsi"/>
                <w:b/>
                <w:color w:val="C00000"/>
                <w:kern w:val="28"/>
                <w:sz w:val="24"/>
                <w:szCs w:val="24"/>
              </w:rPr>
              <w:t>Add Rows as Needed</w:t>
            </w:r>
            <w:r w:rsidRPr="00420598">
              <w:rPr>
                <w:rFonts w:cstheme="minorHAnsi"/>
                <w:color w:val="C00000"/>
                <w:kern w:val="28"/>
                <w:sz w:val="24"/>
                <w:szCs w:val="24"/>
              </w:rPr>
              <w:t xml:space="preserve"> </w:t>
            </w:r>
            <w:r w:rsidRPr="00420598">
              <w:rPr>
                <w:rFonts w:cstheme="minorHAnsi"/>
                <w:color w:val="000000"/>
                <w:kern w:val="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D998089" w14:textId="77777777" w:rsidR="00420598" w:rsidRDefault="00420598" w:rsidP="0063307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64125F8" w14:textId="10C61538" w:rsidR="00CA5610" w:rsidRPr="006B3047" w:rsidRDefault="00CA5610" w:rsidP="38F61B23">
      <w:pPr>
        <w:rPr>
          <w:b/>
          <w:bCs/>
          <w:sz w:val="24"/>
          <w:szCs w:val="24"/>
        </w:rPr>
      </w:pPr>
    </w:p>
    <w:sectPr w:rsidR="00CA5610" w:rsidRPr="006B3047" w:rsidSect="00FE6E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D8D" w14:textId="77777777" w:rsidR="00D36A0A" w:rsidRDefault="00D36A0A" w:rsidP="00B35E42">
      <w:pPr>
        <w:spacing w:after="0" w:line="240" w:lineRule="auto"/>
      </w:pPr>
      <w:r>
        <w:separator/>
      </w:r>
    </w:p>
  </w:endnote>
  <w:endnote w:type="continuationSeparator" w:id="0">
    <w:p w14:paraId="43FAAD42" w14:textId="77777777" w:rsidR="00D36A0A" w:rsidRDefault="00D36A0A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CB02" w14:textId="77777777" w:rsidR="00D36A0A" w:rsidRDefault="00D36A0A" w:rsidP="00B35E42">
      <w:pPr>
        <w:spacing w:after="0" w:line="240" w:lineRule="auto"/>
      </w:pPr>
      <w:r>
        <w:separator/>
      </w:r>
    </w:p>
  </w:footnote>
  <w:footnote w:type="continuationSeparator" w:id="0">
    <w:p w14:paraId="567A9D29" w14:textId="77777777" w:rsidR="00D36A0A" w:rsidRDefault="00D36A0A" w:rsidP="00B3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75"/>
    <w:multiLevelType w:val="hybridMultilevel"/>
    <w:tmpl w:val="7E120378"/>
    <w:lvl w:ilvl="0" w:tplc="6C6CCD98">
      <w:start w:val="1"/>
      <w:numFmt w:val="decimal"/>
      <w:lvlText w:val="%1."/>
      <w:lvlJc w:val="left"/>
      <w:pPr>
        <w:ind w:left="720" w:hanging="360"/>
      </w:pPr>
    </w:lvl>
    <w:lvl w:ilvl="1" w:tplc="E1003940">
      <w:start w:val="1"/>
      <w:numFmt w:val="lowerLetter"/>
      <w:lvlText w:val="%2."/>
      <w:lvlJc w:val="left"/>
      <w:pPr>
        <w:ind w:left="1440" w:hanging="360"/>
      </w:pPr>
    </w:lvl>
    <w:lvl w:ilvl="2" w:tplc="B792DB52">
      <w:start w:val="1"/>
      <w:numFmt w:val="lowerRoman"/>
      <w:lvlText w:val="%3."/>
      <w:lvlJc w:val="right"/>
      <w:pPr>
        <w:ind w:left="2160" w:hanging="180"/>
      </w:pPr>
    </w:lvl>
    <w:lvl w:ilvl="3" w:tplc="6DC0B7D0">
      <w:start w:val="1"/>
      <w:numFmt w:val="decimal"/>
      <w:lvlText w:val="%4."/>
      <w:lvlJc w:val="left"/>
      <w:pPr>
        <w:ind w:left="2880" w:hanging="360"/>
      </w:pPr>
    </w:lvl>
    <w:lvl w:ilvl="4" w:tplc="3FBEBCB2">
      <w:start w:val="1"/>
      <w:numFmt w:val="lowerLetter"/>
      <w:lvlText w:val="%5."/>
      <w:lvlJc w:val="left"/>
      <w:pPr>
        <w:ind w:left="3600" w:hanging="360"/>
      </w:pPr>
    </w:lvl>
    <w:lvl w:ilvl="5" w:tplc="8B66643A">
      <w:start w:val="1"/>
      <w:numFmt w:val="lowerRoman"/>
      <w:lvlText w:val="%6."/>
      <w:lvlJc w:val="right"/>
      <w:pPr>
        <w:ind w:left="4320" w:hanging="180"/>
      </w:pPr>
    </w:lvl>
    <w:lvl w:ilvl="6" w:tplc="6688F2E0">
      <w:start w:val="1"/>
      <w:numFmt w:val="decimal"/>
      <w:lvlText w:val="%7."/>
      <w:lvlJc w:val="left"/>
      <w:pPr>
        <w:ind w:left="5040" w:hanging="360"/>
      </w:pPr>
    </w:lvl>
    <w:lvl w:ilvl="7" w:tplc="35B0F26C">
      <w:start w:val="1"/>
      <w:numFmt w:val="lowerLetter"/>
      <w:lvlText w:val="%8."/>
      <w:lvlJc w:val="left"/>
      <w:pPr>
        <w:ind w:left="5760" w:hanging="360"/>
      </w:pPr>
    </w:lvl>
    <w:lvl w:ilvl="8" w:tplc="DD7C9E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42"/>
    <w:rsid w:val="00090B0F"/>
    <w:rsid w:val="000B5DDC"/>
    <w:rsid w:val="000C6333"/>
    <w:rsid w:val="001142B2"/>
    <w:rsid w:val="0013727A"/>
    <w:rsid w:val="00144EC7"/>
    <w:rsid w:val="00165C4A"/>
    <w:rsid w:val="00170C9C"/>
    <w:rsid w:val="00175DA0"/>
    <w:rsid w:val="001872EC"/>
    <w:rsid w:val="001A0193"/>
    <w:rsid w:val="001A3C39"/>
    <w:rsid w:val="001B48E2"/>
    <w:rsid w:val="001C7364"/>
    <w:rsid w:val="00220259"/>
    <w:rsid w:val="002526BC"/>
    <w:rsid w:val="002846D7"/>
    <w:rsid w:val="002D03CD"/>
    <w:rsid w:val="002E1BF0"/>
    <w:rsid w:val="002E49A1"/>
    <w:rsid w:val="002F4D8F"/>
    <w:rsid w:val="00324E5A"/>
    <w:rsid w:val="0033654D"/>
    <w:rsid w:val="00345AAF"/>
    <w:rsid w:val="00354E99"/>
    <w:rsid w:val="0037250F"/>
    <w:rsid w:val="00390AEB"/>
    <w:rsid w:val="003B2E6F"/>
    <w:rsid w:val="003C0A24"/>
    <w:rsid w:val="003D7098"/>
    <w:rsid w:val="003E2762"/>
    <w:rsid w:val="003F7474"/>
    <w:rsid w:val="00417B72"/>
    <w:rsid w:val="00420598"/>
    <w:rsid w:val="00453AF0"/>
    <w:rsid w:val="00475C04"/>
    <w:rsid w:val="004A5011"/>
    <w:rsid w:val="004C1966"/>
    <w:rsid w:val="004F58E4"/>
    <w:rsid w:val="005058EB"/>
    <w:rsid w:val="00536D51"/>
    <w:rsid w:val="00564A8B"/>
    <w:rsid w:val="005658ED"/>
    <w:rsid w:val="00565AD4"/>
    <w:rsid w:val="00583907"/>
    <w:rsid w:val="005F4FA3"/>
    <w:rsid w:val="0063307F"/>
    <w:rsid w:val="00664DC9"/>
    <w:rsid w:val="006659F4"/>
    <w:rsid w:val="006772BF"/>
    <w:rsid w:val="006A28B2"/>
    <w:rsid w:val="006B3047"/>
    <w:rsid w:val="006F24B4"/>
    <w:rsid w:val="0070114A"/>
    <w:rsid w:val="00720102"/>
    <w:rsid w:val="00744718"/>
    <w:rsid w:val="00786FC7"/>
    <w:rsid w:val="00794587"/>
    <w:rsid w:val="007B2D06"/>
    <w:rsid w:val="0083162C"/>
    <w:rsid w:val="00876072"/>
    <w:rsid w:val="008C440D"/>
    <w:rsid w:val="00962B5B"/>
    <w:rsid w:val="00967601"/>
    <w:rsid w:val="009840E5"/>
    <w:rsid w:val="009B48F3"/>
    <w:rsid w:val="009D3B88"/>
    <w:rsid w:val="009E1B4D"/>
    <w:rsid w:val="009F1806"/>
    <w:rsid w:val="00A0431E"/>
    <w:rsid w:val="00A061F6"/>
    <w:rsid w:val="00A11E2D"/>
    <w:rsid w:val="00A52BAA"/>
    <w:rsid w:val="00A6094F"/>
    <w:rsid w:val="00AC2C49"/>
    <w:rsid w:val="00AC764C"/>
    <w:rsid w:val="00B35E42"/>
    <w:rsid w:val="00B661B2"/>
    <w:rsid w:val="00B667E9"/>
    <w:rsid w:val="00B66AF4"/>
    <w:rsid w:val="00B835B3"/>
    <w:rsid w:val="00BA1372"/>
    <w:rsid w:val="00BF19C8"/>
    <w:rsid w:val="00C32E54"/>
    <w:rsid w:val="00C55B6C"/>
    <w:rsid w:val="00C86445"/>
    <w:rsid w:val="00CA5610"/>
    <w:rsid w:val="00CC11F1"/>
    <w:rsid w:val="00CF6099"/>
    <w:rsid w:val="00D32A66"/>
    <w:rsid w:val="00D36A0A"/>
    <w:rsid w:val="00D41279"/>
    <w:rsid w:val="00D45AC0"/>
    <w:rsid w:val="00D9210B"/>
    <w:rsid w:val="00DD5164"/>
    <w:rsid w:val="00E33936"/>
    <w:rsid w:val="00E41CD6"/>
    <w:rsid w:val="00E53B0E"/>
    <w:rsid w:val="00E723EA"/>
    <w:rsid w:val="00E83A2B"/>
    <w:rsid w:val="00EC0651"/>
    <w:rsid w:val="00EF2386"/>
    <w:rsid w:val="00F378B5"/>
    <w:rsid w:val="00F37A4D"/>
    <w:rsid w:val="00F512ED"/>
    <w:rsid w:val="00FA0F8A"/>
    <w:rsid w:val="00FD4596"/>
    <w:rsid w:val="00FE6EFA"/>
    <w:rsid w:val="01334E08"/>
    <w:rsid w:val="03E1A9C0"/>
    <w:rsid w:val="049D898F"/>
    <w:rsid w:val="07FAD775"/>
    <w:rsid w:val="082CD422"/>
    <w:rsid w:val="0B94F0D6"/>
    <w:rsid w:val="0C26DFAB"/>
    <w:rsid w:val="0C94FD58"/>
    <w:rsid w:val="0CC36BAE"/>
    <w:rsid w:val="10A781C7"/>
    <w:rsid w:val="10E11B05"/>
    <w:rsid w:val="11194844"/>
    <w:rsid w:val="1605E3E8"/>
    <w:rsid w:val="1634580E"/>
    <w:rsid w:val="1676101C"/>
    <w:rsid w:val="18C1E609"/>
    <w:rsid w:val="19C54DAE"/>
    <w:rsid w:val="1A7C09E1"/>
    <w:rsid w:val="1AA3A231"/>
    <w:rsid w:val="1CCA3007"/>
    <w:rsid w:val="1F314BBA"/>
    <w:rsid w:val="209C2BBF"/>
    <w:rsid w:val="223330A2"/>
    <w:rsid w:val="229A66C9"/>
    <w:rsid w:val="242915DC"/>
    <w:rsid w:val="2677AAB9"/>
    <w:rsid w:val="269A25D6"/>
    <w:rsid w:val="276C538A"/>
    <w:rsid w:val="2792534C"/>
    <w:rsid w:val="27F7AB04"/>
    <w:rsid w:val="286A8C1E"/>
    <w:rsid w:val="28BD92C1"/>
    <w:rsid w:val="29A87DFD"/>
    <w:rsid w:val="29D62CAE"/>
    <w:rsid w:val="2A21BB9A"/>
    <w:rsid w:val="2CDA3AEF"/>
    <w:rsid w:val="2D448A93"/>
    <w:rsid w:val="2DCBD548"/>
    <w:rsid w:val="2E3BE74A"/>
    <w:rsid w:val="2E62697D"/>
    <w:rsid w:val="31BE9F80"/>
    <w:rsid w:val="321C6AA5"/>
    <w:rsid w:val="35C8D81A"/>
    <w:rsid w:val="36F5C43A"/>
    <w:rsid w:val="37A49E17"/>
    <w:rsid w:val="382BEA17"/>
    <w:rsid w:val="38F61B23"/>
    <w:rsid w:val="3A769E53"/>
    <w:rsid w:val="3F6EF6A4"/>
    <w:rsid w:val="3F72F79C"/>
    <w:rsid w:val="400E493B"/>
    <w:rsid w:val="4027B374"/>
    <w:rsid w:val="4047627B"/>
    <w:rsid w:val="4049B88D"/>
    <w:rsid w:val="407C790E"/>
    <w:rsid w:val="413F8A90"/>
    <w:rsid w:val="431A4942"/>
    <w:rsid w:val="43A934C8"/>
    <w:rsid w:val="445FD6FF"/>
    <w:rsid w:val="44F1FCD3"/>
    <w:rsid w:val="46A056B5"/>
    <w:rsid w:val="49E7FA85"/>
    <w:rsid w:val="4A8C3403"/>
    <w:rsid w:val="4C14A527"/>
    <w:rsid w:val="4E958E4F"/>
    <w:rsid w:val="4FD317EE"/>
    <w:rsid w:val="519CC1C1"/>
    <w:rsid w:val="5233EAA7"/>
    <w:rsid w:val="523A5E3C"/>
    <w:rsid w:val="541FAECE"/>
    <w:rsid w:val="547D7DAC"/>
    <w:rsid w:val="5715317B"/>
    <w:rsid w:val="592BDF04"/>
    <w:rsid w:val="597FEB9F"/>
    <w:rsid w:val="5AFF9D37"/>
    <w:rsid w:val="5C287A21"/>
    <w:rsid w:val="5D992A89"/>
    <w:rsid w:val="5F098CE2"/>
    <w:rsid w:val="5F88314D"/>
    <w:rsid w:val="6094CDC5"/>
    <w:rsid w:val="624132C1"/>
    <w:rsid w:val="62C10C25"/>
    <w:rsid w:val="63085A5F"/>
    <w:rsid w:val="6433BE51"/>
    <w:rsid w:val="681DBACC"/>
    <w:rsid w:val="683995E4"/>
    <w:rsid w:val="6B082519"/>
    <w:rsid w:val="6DA649F9"/>
    <w:rsid w:val="6DD8B2DC"/>
    <w:rsid w:val="721EDE44"/>
    <w:rsid w:val="725DB726"/>
    <w:rsid w:val="76DE61CA"/>
    <w:rsid w:val="770E1A70"/>
    <w:rsid w:val="77923DA4"/>
    <w:rsid w:val="78E4F192"/>
    <w:rsid w:val="7C0C4185"/>
    <w:rsid w:val="7DB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E2D7A4"/>
  <w15:chartTrackingRefBased/>
  <w15:docId w15:val="{A648E37C-AFED-49B8-B7AB-8B73191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B4"/>
  </w:style>
  <w:style w:type="paragraph" w:styleId="Footer">
    <w:name w:val="footer"/>
    <w:basedOn w:val="Normal"/>
    <w:link w:val="FooterChar"/>
    <w:uiPriority w:val="99"/>
    <w:unhideWhenUsed/>
    <w:rsid w:val="006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B4"/>
  </w:style>
  <w:style w:type="character" w:styleId="FollowedHyperlink">
    <w:name w:val="FollowedHyperlink"/>
    <w:basedOn w:val="DefaultParagraphFont"/>
    <w:uiPriority w:val="99"/>
    <w:semiHidden/>
    <w:unhideWhenUsed/>
    <w:rsid w:val="00786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entaffairs.unc.edu/student-affairs-staff-portal/student-affairs-assess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affairs.unc.edu/student-affairs-staff-portal/student-affairs-assess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ffairs.unc.edu/student-affairs-staff-portal/student-affairs-assessme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tudentaffairs.unc.edu/student-affairs-staff-portal/student-affairs-assess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entaffairs.unc.edu/student-affairs-staff-portal/student-affairs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A3A23041154D9E1E934E575DE613" ma:contentTypeVersion="8" ma:contentTypeDescription="Create a new document." ma:contentTypeScope="" ma:versionID="d0d36b164e339f00e46bbfac8a67bdec">
  <xsd:schema xmlns:xsd="http://www.w3.org/2001/XMLSchema" xmlns:xs="http://www.w3.org/2001/XMLSchema" xmlns:p="http://schemas.microsoft.com/office/2006/metadata/properties" xmlns:ns2="8308f80c-9743-4e97-a556-0dd3467e5b64" targetNamespace="http://schemas.microsoft.com/office/2006/metadata/properties" ma:root="true" ma:fieldsID="3d9791e021cfcdac6e7024016dca08fa" ns2:_="">
    <xsd:import namespace="8308f80c-9743-4e97-a556-0dd3467e5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f80c-9743-4e97-a556-0dd3467e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73686-5C19-49E3-AA07-5007A963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7B70B-CD50-4F31-972F-D212914F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A227-3A43-4D00-BB09-19E38DE9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8f80c-9743-4e97-a556-0dd3467e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7</cp:revision>
  <dcterms:created xsi:type="dcterms:W3CDTF">2022-08-22T19:19:00Z</dcterms:created>
  <dcterms:modified xsi:type="dcterms:W3CDTF">2022-08-22T19:26:00Z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0x0101002779A3A23041154D9E1E934E575DE613</vt:lpwstr>
  </property>
</Properties>
</file>